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A880D" w14:textId="60DE103D" w:rsidR="00FA77B1" w:rsidRPr="00FA77B1" w:rsidRDefault="00FA77B1" w:rsidP="00FA77B1">
      <w:pPr>
        <w:spacing w:after="0"/>
        <w:rPr>
          <w:rFonts w:asciiTheme="minorEastAsia" w:hAnsiTheme="minorEastAsia" w:hint="eastAsia"/>
          <w:b/>
          <w:bCs/>
          <w:sz w:val="28"/>
          <w:szCs w:val="28"/>
        </w:rPr>
      </w:pPr>
      <w:r w:rsidRPr="00FA77B1">
        <w:rPr>
          <w:rFonts w:asciiTheme="minorEastAsia" w:hAnsiTheme="minorEastAsia"/>
          <w:b/>
          <w:bCs/>
          <w:sz w:val="28"/>
          <w:szCs w:val="28"/>
        </w:rPr>
        <w:t>Ephesians Discover Your Inheritance</w:t>
      </w:r>
      <w:r w:rsidRPr="00FA77B1">
        <w:rPr>
          <w:rFonts w:asciiTheme="minorEastAsia" w:hAnsiTheme="minorEastAsia" w:hint="eastAsia"/>
          <w:b/>
          <w:bCs/>
          <w:sz w:val="28"/>
          <w:szCs w:val="28"/>
        </w:rPr>
        <w:t xml:space="preserve"> -</w:t>
      </w:r>
      <w:r w:rsidRPr="00FA77B1">
        <w:rPr>
          <w:rFonts w:asciiTheme="minorEastAsia" w:hAnsiTheme="minorEastAsia"/>
          <w:b/>
          <w:bCs/>
          <w:sz w:val="28"/>
          <w:szCs w:val="28"/>
        </w:rPr>
        <w:t xml:space="preserve"> Session </w:t>
      </w:r>
      <w:r w:rsidRPr="00FA77B1">
        <w:rPr>
          <w:rFonts w:asciiTheme="minorEastAsia" w:hAnsiTheme="minorEastAsia" w:hint="eastAsia"/>
          <w:b/>
          <w:bCs/>
          <w:sz w:val="28"/>
          <w:szCs w:val="28"/>
        </w:rPr>
        <w:t>One</w:t>
      </w:r>
    </w:p>
    <w:p w14:paraId="72D207C0" w14:textId="296F3F11" w:rsidR="00FA77B1" w:rsidRPr="00FA77B1" w:rsidRDefault="00FA77B1" w:rsidP="00FA77B1">
      <w:pPr>
        <w:spacing w:after="0"/>
        <w:rPr>
          <w:rFonts w:asciiTheme="minorEastAsia" w:hAnsiTheme="minorEastAsia" w:cs="Microsoft JhengHei"/>
          <w:b/>
          <w:bCs/>
          <w:sz w:val="28"/>
          <w:szCs w:val="28"/>
        </w:rPr>
      </w:pPr>
      <w:r w:rsidRPr="00FA77B1">
        <w:rPr>
          <w:rFonts w:asciiTheme="minorEastAsia" w:hAnsiTheme="minorEastAsia" w:cs="Microsoft JhengHei" w:hint="eastAsia"/>
          <w:b/>
          <w:bCs/>
          <w:sz w:val="28"/>
          <w:szCs w:val="28"/>
        </w:rPr>
        <w:t>探索你的承襲</w:t>
      </w:r>
      <w:r w:rsidRPr="00FA77B1">
        <w:rPr>
          <w:rFonts w:asciiTheme="minorEastAsia" w:hAnsiTheme="minorEastAsia" w:hint="eastAsia"/>
          <w:b/>
          <w:bCs/>
          <w:sz w:val="28"/>
          <w:szCs w:val="28"/>
        </w:rPr>
        <w:t xml:space="preserve"> - </w:t>
      </w:r>
      <w:r w:rsidRPr="00FA77B1">
        <w:rPr>
          <w:rFonts w:asciiTheme="minorEastAsia" w:hAnsiTheme="minorEastAsia" w:cs="Microsoft JhengHei" w:hint="eastAsia"/>
          <w:b/>
          <w:bCs/>
          <w:sz w:val="28"/>
          <w:szCs w:val="28"/>
        </w:rPr>
        <w:t>第</w:t>
      </w:r>
      <w:r w:rsidRPr="00FA77B1">
        <w:rPr>
          <w:rFonts w:asciiTheme="minorEastAsia" w:hAnsiTheme="minorEastAsia" w:cs="Microsoft JhengHei" w:hint="eastAsia"/>
          <w:b/>
          <w:bCs/>
          <w:sz w:val="28"/>
          <w:szCs w:val="28"/>
        </w:rPr>
        <w:t>一</w:t>
      </w:r>
      <w:r w:rsidRPr="00FA77B1">
        <w:rPr>
          <w:rFonts w:asciiTheme="minorEastAsia" w:hAnsiTheme="minorEastAsia" w:cs="Microsoft JhengHei" w:hint="eastAsia"/>
          <w:b/>
          <w:bCs/>
          <w:sz w:val="28"/>
          <w:szCs w:val="28"/>
        </w:rPr>
        <w:t>課</w:t>
      </w:r>
    </w:p>
    <w:p w14:paraId="5F60A144" w14:textId="05D5FF08" w:rsidR="00FA77B1" w:rsidRPr="00FA77B1" w:rsidRDefault="00FA77B1" w:rsidP="00FA77B1">
      <w:pPr>
        <w:spacing w:after="0"/>
        <w:rPr>
          <w:rFonts w:asciiTheme="minorEastAsia" w:hAnsiTheme="minorEastAsia" w:hint="eastAsia"/>
          <w:b/>
          <w:bCs/>
          <w:sz w:val="28"/>
          <w:szCs w:val="28"/>
        </w:rPr>
      </w:pPr>
      <w:r w:rsidRPr="00FA77B1">
        <w:rPr>
          <w:rFonts w:asciiTheme="minorEastAsia" w:hAnsiTheme="minorEastAsia"/>
          <w:b/>
          <w:bCs/>
          <w:sz w:val="28"/>
          <w:szCs w:val="28"/>
        </w:rPr>
        <w:t>Introduction</w:t>
      </w:r>
    </w:p>
    <w:p w14:paraId="00000002" w14:textId="77777777" w:rsidR="00220AF7" w:rsidRDefault="00000000" w:rsidP="00FA77B1">
      <w:pPr>
        <w:tabs>
          <w:tab w:val="left" w:pos="3255"/>
        </w:tabs>
        <w:spacing w:after="0"/>
        <w:rPr>
          <w:rFonts w:asciiTheme="minorEastAsia" w:hAnsiTheme="minorEastAsia"/>
          <w:b/>
        </w:rPr>
      </w:pPr>
      <w:r w:rsidRPr="00FA77B1">
        <w:rPr>
          <w:rFonts w:asciiTheme="minorEastAsia" w:hAnsiTheme="minorEastAsia"/>
          <w:b/>
        </w:rPr>
        <w:t>引言</w:t>
      </w:r>
    </w:p>
    <w:p w14:paraId="37E9BBFA" w14:textId="77777777" w:rsidR="00FA77B1" w:rsidRPr="00FA77B1" w:rsidRDefault="00FA77B1" w:rsidP="00FA77B1">
      <w:pPr>
        <w:tabs>
          <w:tab w:val="left" w:pos="3255"/>
        </w:tabs>
        <w:spacing w:after="0"/>
        <w:rPr>
          <w:rFonts w:asciiTheme="minorEastAsia" w:hAnsiTheme="minorEastAsia" w:hint="eastAsia"/>
          <w:b/>
        </w:rPr>
      </w:pPr>
    </w:p>
    <w:p w14:paraId="00000003" w14:textId="77777777" w:rsidR="00220AF7" w:rsidRPr="00FA77B1" w:rsidRDefault="00000000">
      <w:pPr>
        <w:tabs>
          <w:tab w:val="left" w:pos="3255"/>
        </w:tabs>
        <w:rPr>
          <w:rFonts w:asciiTheme="minorEastAsia" w:hAnsiTheme="minorEastAsia"/>
          <w:b/>
        </w:rPr>
      </w:pPr>
      <w:r w:rsidRPr="00FA77B1">
        <w:rPr>
          <w:rFonts w:asciiTheme="minorEastAsia" w:hAnsiTheme="minorEastAsia"/>
          <w:b/>
        </w:rPr>
        <w:t>介紹</w:t>
      </w:r>
    </w:p>
    <w:p w14:paraId="00000004" w14:textId="77777777" w:rsidR="00220AF7" w:rsidRPr="00FA77B1" w:rsidRDefault="00000000">
      <w:pPr>
        <w:tabs>
          <w:tab w:val="left" w:pos="3255"/>
        </w:tabs>
        <w:rPr>
          <w:rFonts w:asciiTheme="minorEastAsia" w:hAnsiTheme="minorEastAsia"/>
        </w:rPr>
      </w:pPr>
      <w:r w:rsidRPr="00FA77B1">
        <w:rPr>
          <w:rFonts w:asciiTheme="minorEastAsia" w:hAnsiTheme="minorEastAsia"/>
        </w:rPr>
        <w:t>《厄弗所書》被稱為“保祿思想的頂峰和高潮”。事實上，天主教學者雷蒙德·布朗神父認為《厄弗所書》與《羅馬書》一樣，在基督徒思想和靈修中具有重大影響力。因為其強大且實用的指導，《厄弗所書》是保祿書信中流傳最廣的之一。這六章短短的經文，包含了新約中一些最常被討論的章節，這些章節在當今基督宗教文化和社會中仍然是熱門話題：婚姻的性質、教會的目的和角色、天主計劃中恩寵的重要性、靈性戰爭的現實等。</w:t>
      </w:r>
    </w:p>
    <w:p w14:paraId="00000005" w14:textId="77777777" w:rsidR="00220AF7" w:rsidRPr="00FA77B1" w:rsidRDefault="00220AF7">
      <w:pPr>
        <w:tabs>
          <w:tab w:val="left" w:pos="3255"/>
        </w:tabs>
        <w:rPr>
          <w:rFonts w:asciiTheme="minorEastAsia" w:hAnsiTheme="minorEastAsia"/>
        </w:rPr>
      </w:pPr>
    </w:p>
    <w:p w14:paraId="00000006" w14:textId="77777777" w:rsidR="00220AF7" w:rsidRPr="00FA77B1" w:rsidRDefault="00000000">
      <w:pPr>
        <w:tabs>
          <w:tab w:val="left" w:pos="3255"/>
        </w:tabs>
        <w:rPr>
          <w:rFonts w:asciiTheme="minorEastAsia" w:hAnsiTheme="minorEastAsia"/>
          <w:b/>
        </w:rPr>
      </w:pPr>
      <w:r w:rsidRPr="00FA77B1">
        <w:rPr>
          <w:rFonts w:asciiTheme="minorEastAsia" w:hAnsiTheme="minorEastAsia"/>
          <w:b/>
        </w:rPr>
        <w:t>作者身份</w:t>
      </w:r>
    </w:p>
    <w:p w14:paraId="00000007" w14:textId="77777777" w:rsidR="00220AF7" w:rsidRPr="00FA77B1" w:rsidRDefault="00000000">
      <w:pPr>
        <w:tabs>
          <w:tab w:val="left" w:pos="3255"/>
        </w:tabs>
        <w:rPr>
          <w:rFonts w:asciiTheme="minorEastAsia" w:hAnsiTheme="minorEastAsia"/>
        </w:rPr>
      </w:pPr>
      <w:r w:rsidRPr="00FA77B1">
        <w:rPr>
          <w:rFonts w:asciiTheme="minorEastAsia" w:hAnsiTheme="minorEastAsia"/>
        </w:rPr>
        <w:t>《厄弗所書》內外證據均強有力地支持保祿作為作者的身份。信中自稱作者是聖保祿（見《厄弗所書》1:1和3:1），而我們最早的教會作家也普遍確認這一事實。第一個例子是羅馬的教宗聖克萊孟一世（公元96年），他被廣泛認為是第一位宗徒教父。安提約基雅的聖依納爵和聖波利卡普也引用了聖保祿的話；而他的《厄弗所書》也被收錄在最早的新約書信的列表中，如馬吉安經典（公元140年）和後來的穆拉托里斷片（公元180年）。直到16世紀，保祿作者身份才被質疑，主要是基於與宗徒其他書信在語言、語氣和風格上的差異。但這些元素本身並不能排除保祿作為作者的可能性。畢竟，保祿在寫給一個更成熟的社區，該社區沒有像其他教會那樣的衝突和爭議，因此他能夠更深入地探討神學主題。此外，他還使用了一名文書助手，這位助手幫助宗徒組織和傳達他的思想（見《厄弗所書》6:21；《哥林多前書》16:21；《迦拉達書》6:11）。</w:t>
      </w:r>
    </w:p>
    <w:p w14:paraId="00000008" w14:textId="77777777" w:rsidR="00220AF7" w:rsidRPr="00FA77B1" w:rsidRDefault="00220AF7">
      <w:pPr>
        <w:tabs>
          <w:tab w:val="left" w:pos="3255"/>
        </w:tabs>
        <w:rPr>
          <w:rFonts w:asciiTheme="minorEastAsia" w:hAnsiTheme="minorEastAsia"/>
          <w:b/>
        </w:rPr>
      </w:pPr>
    </w:p>
    <w:p w14:paraId="00000009" w14:textId="77777777" w:rsidR="00220AF7" w:rsidRPr="00FA77B1" w:rsidRDefault="00000000">
      <w:pPr>
        <w:tabs>
          <w:tab w:val="left" w:pos="3255"/>
        </w:tabs>
        <w:rPr>
          <w:rFonts w:asciiTheme="minorEastAsia" w:hAnsiTheme="minorEastAsia"/>
          <w:b/>
        </w:rPr>
      </w:pPr>
      <w:r w:rsidRPr="00FA77B1">
        <w:rPr>
          <w:rFonts w:asciiTheme="minorEastAsia" w:hAnsiTheme="minorEastAsia"/>
          <w:b/>
        </w:rPr>
        <w:t>寫作日期</w:t>
      </w:r>
    </w:p>
    <w:p w14:paraId="0000000A" w14:textId="77777777" w:rsidR="00220AF7" w:rsidRPr="00FA77B1" w:rsidRDefault="00000000">
      <w:pPr>
        <w:tabs>
          <w:tab w:val="left" w:pos="3255"/>
        </w:tabs>
        <w:rPr>
          <w:rFonts w:asciiTheme="minorEastAsia" w:hAnsiTheme="minorEastAsia"/>
        </w:rPr>
      </w:pPr>
      <w:r w:rsidRPr="00FA77B1">
        <w:rPr>
          <w:rFonts w:asciiTheme="minorEastAsia" w:hAnsiTheme="minorEastAsia"/>
        </w:rPr>
        <w:t>支持保祿作為作者的人通常將《厄弗所書》寫作日期定在公元61-63年之間，當時他在羅馬被軟禁，等待審判（見《厄弗所書》4:1；《宗徒大事錄》28:30-31）。但也有可能是在公元58年早些時候，他在凱撒勒雅馬利提瑪被拘留期間寫成的（見《宗徒大事錄》23:33-26:32）。儘管被鎖鏈束縛，保祿的傳教、寫作和輔導工作並未受到阻礙。他向看守和法官傳福音，鼓勵其他基督徒，很可能還寫了《斐理伯書》、《哥羅森書》、《費肋孟書》和《弟茂德後書》（見《宗徒大事錄》24-26, 28:23-31；《斐理伯書》1:13；《弟茂德後書》4:17）。</w:t>
      </w:r>
    </w:p>
    <w:p w14:paraId="0000000B" w14:textId="77777777" w:rsidR="00220AF7" w:rsidRPr="00FA77B1" w:rsidRDefault="00220AF7">
      <w:pPr>
        <w:tabs>
          <w:tab w:val="left" w:pos="3255"/>
        </w:tabs>
        <w:rPr>
          <w:rFonts w:asciiTheme="minorEastAsia" w:hAnsiTheme="minorEastAsia"/>
        </w:rPr>
      </w:pPr>
    </w:p>
    <w:p w14:paraId="0000000C" w14:textId="77777777" w:rsidR="00220AF7" w:rsidRPr="00FA77B1" w:rsidRDefault="00000000">
      <w:pPr>
        <w:tabs>
          <w:tab w:val="left" w:pos="3255"/>
        </w:tabs>
        <w:rPr>
          <w:rFonts w:asciiTheme="minorEastAsia" w:hAnsiTheme="minorEastAsia"/>
          <w:b/>
        </w:rPr>
      </w:pPr>
      <w:r w:rsidRPr="00FA77B1">
        <w:rPr>
          <w:rFonts w:asciiTheme="minorEastAsia" w:hAnsiTheme="minorEastAsia"/>
          <w:b/>
        </w:rPr>
        <w:t>保祿信件的讀者</w:t>
      </w:r>
    </w:p>
    <w:p w14:paraId="0000000D" w14:textId="77777777" w:rsidR="00220AF7" w:rsidRPr="00FA77B1" w:rsidRDefault="00000000">
      <w:pPr>
        <w:tabs>
          <w:tab w:val="left" w:pos="3255"/>
        </w:tabs>
        <w:rPr>
          <w:rFonts w:asciiTheme="minorEastAsia" w:hAnsiTheme="minorEastAsia"/>
        </w:rPr>
      </w:pPr>
      <w:r w:rsidRPr="00FA77B1">
        <w:rPr>
          <w:rFonts w:asciiTheme="minorEastAsia" w:hAnsiTheme="minorEastAsia"/>
        </w:rPr>
        <w:t>《厄弗所書》的讀者範圍廣泛：“給在基督耶穌內忠信的聖徒們”（《厄弗所書》1:1b）。其他早期手稿則更具體：「給在厄弗所的聖徒們和忠信者」。手稿中的這些變體不應讓我們驚訝，因為這封信在亞細亞小亞細亞地區廣泛傳播，被重新抄寫並分發給許多小團體。這也解釋了為什麼這封書信不像保祿其他有針對性的信件那樣，沒有針對特定的教會長老或特定的爭議。</w:t>
      </w:r>
    </w:p>
    <w:p w14:paraId="0000000E" w14:textId="77777777" w:rsidR="00220AF7" w:rsidRPr="00FA77B1" w:rsidRDefault="00000000">
      <w:pPr>
        <w:tabs>
          <w:tab w:val="left" w:pos="3255"/>
        </w:tabs>
        <w:rPr>
          <w:rFonts w:asciiTheme="minorEastAsia" w:hAnsiTheme="minorEastAsia"/>
        </w:rPr>
      </w:pPr>
      <w:r w:rsidRPr="00FA77B1">
        <w:rPr>
          <w:rFonts w:asciiTheme="minorEastAsia" w:hAnsiTheme="minorEastAsia"/>
        </w:rPr>
        <w:t>古代的厄弗所位於現今的土耳其西部。雖然許多朝聖者會參觀以色列的聖地，但值得注意的是，新約中大約三分之二的內容都是在世界上這個小地區內寫給或寫自於這裡的基督徒。</w:t>
      </w:r>
    </w:p>
    <w:p w14:paraId="0000000F" w14:textId="21D2CD0D" w:rsidR="00220AF7" w:rsidRPr="00FA77B1" w:rsidRDefault="00000000">
      <w:pPr>
        <w:rPr>
          <w:rFonts w:asciiTheme="minorEastAsia" w:hAnsiTheme="minorEastAsia"/>
        </w:rPr>
      </w:pPr>
      <w:r w:rsidRPr="00FA77B1">
        <w:rPr>
          <w:rFonts w:asciiTheme="minorEastAsia" w:hAnsiTheme="minorEastAsia"/>
        </w:rPr>
        <w:t>朝聖者仍然可以漫步在厄弗所的街道上，那裡的雕像和建築令人嘆為觀止，且這座城市只有大約20%到30%被發掘出來。在新約時期，厄弗所是羅馬亞細亞的第三大城市，也是古代七大奇蹟之一——阿爾忒彌斯神廟的所在地。對於基督徒來說，這裡是“</w:t>
      </w:r>
      <w:r w:rsidR="005F28C3" w:rsidRPr="00FA77B1">
        <w:rPr>
          <w:rFonts w:asciiTheme="minorEastAsia" w:hAnsiTheme="minorEastAsia"/>
        </w:rPr>
        <w:t>主的道</w:t>
      </w:r>
      <w:r w:rsidRPr="00FA77B1">
        <w:rPr>
          <w:rFonts w:asciiTheme="minorEastAsia" w:hAnsiTheme="minorEastAsia"/>
        </w:rPr>
        <w:t>”運動的重要中心之一（見《宗徒大事錄》9:2, 18:25, 19:9, 19:23）。</w:t>
      </w:r>
    </w:p>
    <w:p w14:paraId="00000010" w14:textId="77777777" w:rsidR="00220AF7" w:rsidRPr="00FA77B1" w:rsidRDefault="00000000">
      <w:pPr>
        <w:rPr>
          <w:rFonts w:asciiTheme="minorEastAsia" w:hAnsiTheme="minorEastAsia"/>
        </w:rPr>
      </w:pPr>
      <w:r w:rsidRPr="00FA77B1">
        <w:rPr>
          <w:rFonts w:asciiTheme="minorEastAsia" w:hAnsiTheme="minorEastAsia"/>
        </w:rPr>
        <w:t>聖保祿在厄弗所生活了三年，從事他的工作，建立了一個信仰團體，並與依靠阿爾忒彌斯神廟朝聖者維生的異教徒對抗（見《宗徒大事錄》19）。隨著團體的壯大，早期基督宗教證據告訴我們，聖保祿任命年輕的弟茂德為厄弗所的第一任主教（見《弟茂德前書》和《弟茂德後書》）。傳統上認為聖若望和聖母瑪利亞也在這裡，這可能是聖路加在撰寫福音書時與他們進行訪談的地方。其他新約中的著名人物如普黎史拉、阿桂拉和阿頗羅也在這裡出現過（見《宗徒大事錄》18）。</w:t>
      </w:r>
    </w:p>
    <w:p w14:paraId="00000011" w14:textId="77777777" w:rsidR="00220AF7" w:rsidRPr="00FA77B1" w:rsidRDefault="00000000">
      <w:pPr>
        <w:rPr>
          <w:rFonts w:asciiTheme="minorEastAsia" w:hAnsiTheme="minorEastAsia"/>
        </w:rPr>
      </w:pPr>
      <w:r w:rsidRPr="00FA77B1">
        <w:rPr>
          <w:rFonts w:asciiTheme="minorEastAsia" w:hAnsiTheme="minorEastAsia"/>
        </w:rPr>
        <w:t>耶穌基督向聖若望的啟示（見《默示錄》2:1-7）包括一封致厄弗所教會的信，讚揚教會的忠誠，並挑戰信徒「悔改，行你起初所行的事」（《默示錄》2:5）。隨著時間的推移，這座城市還收到來自安提約基雅的聖依納爵的信件，並且是公元431年厄弗所大公會議的所在地，這是教會歷史上最重要的會議之一。</w:t>
      </w:r>
    </w:p>
    <w:p w14:paraId="00000012" w14:textId="77777777" w:rsidR="00220AF7" w:rsidRPr="00FA77B1" w:rsidRDefault="00000000">
      <w:pPr>
        <w:rPr>
          <w:rFonts w:asciiTheme="minorEastAsia" w:hAnsiTheme="minorEastAsia"/>
        </w:rPr>
      </w:pPr>
      <w:r w:rsidRPr="00FA77B1">
        <w:rPr>
          <w:rFonts w:asciiTheme="minorEastAsia" w:hAnsiTheme="minorEastAsia"/>
        </w:rPr>
        <w:t>我們擁有許多關於這個特定信徒團體在不同世代精神狀況的信息，這些信息在21世紀的我們繼續思考我們的相似之處，並反思什麼是跟隨基督和成為祂的教會的意義。</w:t>
      </w:r>
    </w:p>
    <w:p w14:paraId="00000013" w14:textId="77777777" w:rsidR="00220AF7" w:rsidRPr="00FA77B1" w:rsidRDefault="00000000">
      <w:pPr>
        <w:rPr>
          <w:rFonts w:asciiTheme="minorEastAsia" w:hAnsiTheme="minorEastAsia"/>
        </w:rPr>
      </w:pPr>
      <w:r w:rsidRPr="00FA77B1">
        <w:rPr>
          <w:rFonts w:asciiTheme="minorEastAsia" w:hAnsiTheme="minorEastAsia"/>
        </w:rPr>
        <w:t>在閱讀聖保祿給厄弗所人的信時，思考以下問題：</w:t>
      </w:r>
    </w:p>
    <w:p w14:paraId="00000014" w14:textId="77777777" w:rsidR="00220AF7" w:rsidRPr="00FA77B1" w:rsidRDefault="00000000">
      <w:pPr>
        <w:numPr>
          <w:ilvl w:val="0"/>
          <w:numId w:val="2"/>
        </w:numPr>
        <w:pBdr>
          <w:top w:val="nil"/>
          <w:left w:val="nil"/>
          <w:bottom w:val="nil"/>
          <w:right w:val="nil"/>
          <w:between w:val="nil"/>
        </w:pBdr>
        <w:spacing w:after="0"/>
        <w:rPr>
          <w:rFonts w:asciiTheme="minorEastAsia" w:hAnsiTheme="minorEastAsia"/>
          <w:color w:val="000000"/>
        </w:rPr>
      </w:pPr>
      <w:r w:rsidRPr="00FA77B1">
        <w:rPr>
          <w:rFonts w:asciiTheme="minorEastAsia" w:hAnsiTheme="minorEastAsia"/>
          <w:color w:val="000000"/>
        </w:rPr>
        <w:t>這如何幫助我作為一名天主教徒更好地欣賞21世紀的教會？</w:t>
      </w:r>
    </w:p>
    <w:p w14:paraId="00000015" w14:textId="77777777" w:rsidR="00220AF7" w:rsidRPr="00FA77B1" w:rsidRDefault="00000000">
      <w:pPr>
        <w:numPr>
          <w:ilvl w:val="0"/>
          <w:numId w:val="2"/>
        </w:numPr>
        <w:pBdr>
          <w:top w:val="nil"/>
          <w:left w:val="nil"/>
          <w:bottom w:val="nil"/>
          <w:right w:val="nil"/>
          <w:between w:val="nil"/>
        </w:pBdr>
        <w:spacing w:after="0"/>
        <w:rPr>
          <w:rFonts w:asciiTheme="minorEastAsia" w:hAnsiTheme="minorEastAsia"/>
          <w:color w:val="000000"/>
        </w:rPr>
      </w:pPr>
      <w:r w:rsidRPr="00FA77B1">
        <w:rPr>
          <w:rFonts w:asciiTheme="minorEastAsia" w:hAnsiTheme="minorEastAsia"/>
          <w:color w:val="000000"/>
        </w:rPr>
        <w:t>保祿提供了哪些實用建議，能幫助我成為教會中更忠誠和富有成果的成員？</w:t>
      </w:r>
    </w:p>
    <w:p w14:paraId="00000016" w14:textId="77777777" w:rsidR="00220AF7" w:rsidRPr="00FA77B1" w:rsidRDefault="00000000">
      <w:pPr>
        <w:numPr>
          <w:ilvl w:val="0"/>
          <w:numId w:val="2"/>
        </w:numPr>
        <w:pBdr>
          <w:top w:val="nil"/>
          <w:left w:val="nil"/>
          <w:bottom w:val="nil"/>
          <w:right w:val="nil"/>
          <w:between w:val="nil"/>
        </w:pBdr>
        <w:rPr>
          <w:rFonts w:asciiTheme="minorEastAsia" w:hAnsiTheme="minorEastAsia"/>
          <w:color w:val="000000"/>
        </w:rPr>
      </w:pPr>
      <w:r w:rsidRPr="00FA77B1">
        <w:rPr>
          <w:rFonts w:asciiTheme="minorEastAsia" w:hAnsiTheme="minorEastAsia"/>
          <w:color w:val="000000"/>
        </w:rPr>
        <w:t>如果聖保祿寫一封信給我的堂區，他會提供哪些主題、讚揚和挑戰？</w:t>
      </w:r>
    </w:p>
    <w:p w14:paraId="00000017" w14:textId="77777777" w:rsidR="00220AF7" w:rsidRPr="00FA77B1" w:rsidRDefault="00220AF7">
      <w:pPr>
        <w:rPr>
          <w:rFonts w:asciiTheme="minorEastAsia" w:hAnsiTheme="minorEastAsia"/>
          <w:b/>
        </w:rPr>
      </w:pPr>
    </w:p>
    <w:p w14:paraId="191EB7D0" w14:textId="77777777" w:rsidR="00676FA0" w:rsidRPr="00FA77B1" w:rsidRDefault="00676FA0">
      <w:pPr>
        <w:rPr>
          <w:rFonts w:asciiTheme="minorEastAsia" w:hAnsiTheme="minorEastAsia"/>
          <w:b/>
          <w:lang w:val="en-US"/>
        </w:rPr>
      </w:pPr>
    </w:p>
    <w:p w14:paraId="00000018" w14:textId="13C574CE" w:rsidR="00220AF7" w:rsidRPr="00FA77B1" w:rsidRDefault="00000000">
      <w:pPr>
        <w:rPr>
          <w:rFonts w:asciiTheme="minorEastAsia" w:hAnsiTheme="minorEastAsia"/>
          <w:b/>
        </w:rPr>
      </w:pPr>
      <w:r w:rsidRPr="00FA77B1">
        <w:rPr>
          <w:rFonts w:asciiTheme="minorEastAsia" w:hAnsiTheme="minorEastAsia"/>
          <w:b/>
        </w:rPr>
        <w:t xml:space="preserve">主題、目的和結構 </w:t>
      </w:r>
    </w:p>
    <w:p w14:paraId="00000019" w14:textId="77777777" w:rsidR="00220AF7" w:rsidRPr="00FA77B1" w:rsidRDefault="00000000">
      <w:pPr>
        <w:rPr>
          <w:rFonts w:asciiTheme="minorEastAsia" w:hAnsiTheme="minorEastAsia"/>
        </w:rPr>
      </w:pPr>
      <w:r w:rsidRPr="00FA77B1">
        <w:rPr>
          <w:rFonts w:asciiTheme="minorEastAsia" w:hAnsiTheme="minorEastAsia"/>
        </w:rPr>
        <w:t>最簡單的方法來概述保祿致厄弗所人的書信，是根據正統信</w:t>
      </w:r>
      <w:r w:rsidRPr="00FA77B1">
        <w:rPr>
          <w:rFonts w:asciiTheme="minorEastAsia" w:hAnsiTheme="minorEastAsia" w:cs="PMingLiU"/>
        </w:rPr>
        <w:t>理</w:t>
      </w:r>
      <w:r w:rsidRPr="00FA77B1">
        <w:rPr>
          <w:rFonts w:asciiTheme="minorEastAsia" w:hAnsiTheme="minorEastAsia"/>
        </w:rPr>
        <w:t>（正確的</w:t>
      </w:r>
      <w:r w:rsidRPr="00FA77B1">
        <w:rPr>
          <w:rFonts w:asciiTheme="minorEastAsia" w:hAnsiTheme="minorEastAsia" w:cs="PMingLiU"/>
        </w:rPr>
        <w:t>敬禮</w:t>
      </w:r>
      <w:r w:rsidRPr="00FA77B1">
        <w:rPr>
          <w:rFonts w:asciiTheme="minorEastAsia" w:hAnsiTheme="minorEastAsia"/>
        </w:rPr>
        <w:t xml:space="preserve">或信仰）和正統實踐（正確的行動或行為）來劃分： </w:t>
      </w:r>
    </w:p>
    <w:p w14:paraId="0000001A" w14:textId="77777777" w:rsidR="00220AF7" w:rsidRPr="00FA77B1" w:rsidRDefault="00000000">
      <w:pPr>
        <w:rPr>
          <w:rFonts w:asciiTheme="minorEastAsia" w:hAnsiTheme="minorEastAsia"/>
        </w:rPr>
      </w:pPr>
      <w:r w:rsidRPr="00FA77B1">
        <w:rPr>
          <w:rFonts w:asciiTheme="minorEastAsia" w:hAnsiTheme="minorEastAsia"/>
        </w:rPr>
        <w:t xml:space="preserve">厄弗所書1-3章：正確敬禮或信仰 </w:t>
      </w:r>
    </w:p>
    <w:p w14:paraId="0000001B" w14:textId="77777777" w:rsidR="00220AF7" w:rsidRPr="00FA77B1" w:rsidRDefault="00000000">
      <w:pPr>
        <w:rPr>
          <w:rFonts w:asciiTheme="minorEastAsia" w:hAnsiTheme="minorEastAsia"/>
        </w:rPr>
      </w:pPr>
      <w:r w:rsidRPr="00FA77B1">
        <w:rPr>
          <w:rFonts w:asciiTheme="minorEastAsia" w:hAnsiTheme="minorEastAsia"/>
        </w:rPr>
        <w:t xml:space="preserve">厄弗所書4-6章：正確的實踐或行為 </w:t>
      </w:r>
    </w:p>
    <w:p w14:paraId="0000001C" w14:textId="77777777" w:rsidR="00220AF7" w:rsidRPr="00FA77B1" w:rsidRDefault="00000000">
      <w:pPr>
        <w:rPr>
          <w:rFonts w:asciiTheme="minorEastAsia" w:hAnsiTheme="minorEastAsia"/>
        </w:rPr>
      </w:pPr>
      <w:r w:rsidRPr="00FA77B1">
        <w:rPr>
          <w:rFonts w:asciiTheme="minorEastAsia" w:hAnsiTheme="minorEastAsia"/>
        </w:rPr>
        <w:t>換句話說，前三章提醒我們「在基督內」在上的特權地位，而後三章則展示了這與我們在地上「在基督內」忠實實踐的關係。這給了我們一個強大的十字架形象，表示我們與復活的基督有垂直的關係（厄弗所書1-3章），以及我們在基督的身體內有橫向的統一（厄弗所書4-6章）。</w:t>
      </w:r>
    </w:p>
    <w:p w14:paraId="0000001D" w14:textId="77777777" w:rsidR="00220AF7" w:rsidRPr="00FA77B1" w:rsidRDefault="00000000">
      <w:pPr>
        <w:rPr>
          <w:rFonts w:asciiTheme="minorEastAsia" w:hAnsiTheme="minorEastAsia"/>
        </w:rPr>
      </w:pPr>
      <w:r w:rsidRPr="00FA77B1">
        <w:rPr>
          <w:rFonts w:asciiTheme="minorEastAsia" w:hAnsiTheme="minorEastAsia"/>
        </w:rPr>
        <w:t>本</w:t>
      </w:r>
      <w:r w:rsidRPr="00FA77B1">
        <w:rPr>
          <w:rFonts w:asciiTheme="minorEastAsia" w:hAnsiTheme="minorEastAsia" w:cs="PMingLiU"/>
        </w:rPr>
        <w:t>學習</w:t>
      </w:r>
      <w:r w:rsidRPr="00FA77B1">
        <w:rPr>
          <w:rFonts w:asciiTheme="minorEastAsia" w:hAnsiTheme="minorEastAsia"/>
        </w:rPr>
        <w:t>的各個環節如下：</w:t>
      </w:r>
    </w:p>
    <w:p w14:paraId="0000001E" w14:textId="77777777" w:rsidR="00220AF7" w:rsidRPr="00FA77B1" w:rsidRDefault="00000000">
      <w:pPr>
        <w:numPr>
          <w:ilvl w:val="0"/>
          <w:numId w:val="1"/>
        </w:numPr>
        <w:rPr>
          <w:rFonts w:asciiTheme="minorEastAsia" w:hAnsiTheme="minorEastAsia"/>
        </w:rPr>
      </w:pPr>
      <w:r w:rsidRPr="00FA77B1">
        <w:rPr>
          <w:rFonts w:asciiTheme="minorEastAsia" w:hAnsiTheme="minorEastAsia"/>
        </w:rPr>
        <w:t>介紹</w:t>
      </w:r>
    </w:p>
    <w:p w14:paraId="0000001F" w14:textId="77777777" w:rsidR="00220AF7" w:rsidRPr="00FA77B1" w:rsidRDefault="00000000">
      <w:pPr>
        <w:numPr>
          <w:ilvl w:val="0"/>
          <w:numId w:val="1"/>
        </w:numPr>
        <w:rPr>
          <w:rFonts w:asciiTheme="minorEastAsia" w:hAnsiTheme="minorEastAsia"/>
        </w:rPr>
      </w:pPr>
      <w:r w:rsidRPr="00FA77B1">
        <w:rPr>
          <w:rFonts w:asciiTheme="minorEastAsia" w:hAnsiTheme="minorEastAsia"/>
        </w:rPr>
        <w:t>頌揚他恩寵的光榮（厄弗所書第1章）</w:t>
      </w:r>
    </w:p>
    <w:p w14:paraId="00000020" w14:textId="77777777" w:rsidR="00220AF7" w:rsidRPr="00FA77B1" w:rsidRDefault="00000000">
      <w:pPr>
        <w:numPr>
          <w:ilvl w:val="0"/>
          <w:numId w:val="1"/>
        </w:numPr>
        <w:rPr>
          <w:rFonts w:asciiTheme="minorEastAsia" w:hAnsiTheme="minorEastAsia"/>
        </w:rPr>
      </w:pPr>
      <w:r w:rsidRPr="00FA77B1">
        <w:rPr>
          <w:rFonts w:asciiTheme="minorEastAsia" w:hAnsiTheme="minorEastAsia"/>
        </w:rPr>
        <w:t>因信德而</w:t>
      </w:r>
      <w:r w:rsidRPr="00FA77B1">
        <w:rPr>
          <w:rFonts w:asciiTheme="minorEastAsia" w:hAnsiTheme="minorEastAsia" w:cs="PMingLiU"/>
        </w:rPr>
        <w:t>成義</w:t>
      </w:r>
      <w:r w:rsidRPr="00FA77B1">
        <w:rPr>
          <w:rFonts w:asciiTheme="minorEastAsia" w:hAnsiTheme="minorEastAsia"/>
        </w:rPr>
        <w:t>（厄弗所書第2章）</w:t>
      </w:r>
    </w:p>
    <w:p w14:paraId="00000021" w14:textId="77777777" w:rsidR="00220AF7" w:rsidRPr="00FA77B1" w:rsidRDefault="00000000">
      <w:pPr>
        <w:numPr>
          <w:ilvl w:val="0"/>
          <w:numId w:val="1"/>
        </w:numPr>
        <w:rPr>
          <w:rFonts w:asciiTheme="minorEastAsia" w:hAnsiTheme="minorEastAsia"/>
        </w:rPr>
      </w:pPr>
      <w:r w:rsidRPr="00FA77B1">
        <w:rPr>
          <w:rFonts w:asciiTheme="minorEastAsia" w:hAnsiTheme="minorEastAsia" w:cs="PMingLiU"/>
        </w:rPr>
        <w:t>天主</w:t>
      </w:r>
      <w:r w:rsidRPr="00FA77B1">
        <w:rPr>
          <w:rFonts w:asciiTheme="minorEastAsia" w:hAnsiTheme="minorEastAsia"/>
        </w:rPr>
        <w:t>奧秘的揭示（厄弗所書第3章）</w:t>
      </w:r>
    </w:p>
    <w:p w14:paraId="00000022" w14:textId="77777777" w:rsidR="00220AF7" w:rsidRPr="00FA77B1" w:rsidRDefault="00000000">
      <w:pPr>
        <w:numPr>
          <w:ilvl w:val="0"/>
          <w:numId w:val="1"/>
        </w:numPr>
        <w:rPr>
          <w:rFonts w:asciiTheme="minorEastAsia" w:hAnsiTheme="minorEastAsia"/>
        </w:rPr>
      </w:pPr>
      <w:r w:rsidRPr="00FA77B1">
        <w:rPr>
          <w:rFonts w:asciiTheme="minorEastAsia" w:hAnsiTheme="minorEastAsia"/>
        </w:rPr>
        <w:t>生活行動應相稱天主的寵召（厄弗所書第4章）</w:t>
      </w:r>
    </w:p>
    <w:p w14:paraId="00000023" w14:textId="77777777" w:rsidR="00220AF7" w:rsidRPr="00FA77B1" w:rsidRDefault="00000000">
      <w:pPr>
        <w:numPr>
          <w:ilvl w:val="0"/>
          <w:numId w:val="1"/>
        </w:numPr>
        <w:rPr>
          <w:rFonts w:asciiTheme="minorEastAsia" w:hAnsiTheme="minorEastAsia"/>
        </w:rPr>
      </w:pPr>
      <w:r w:rsidRPr="00FA77B1">
        <w:rPr>
          <w:rFonts w:asciiTheme="minorEastAsia" w:hAnsiTheme="minorEastAsia"/>
        </w:rPr>
        <w:t>效法天主（厄弗所書5:1-20）</w:t>
      </w:r>
    </w:p>
    <w:p w14:paraId="00000024" w14:textId="77777777" w:rsidR="00220AF7" w:rsidRPr="00FA77B1" w:rsidRDefault="00000000">
      <w:pPr>
        <w:numPr>
          <w:ilvl w:val="0"/>
          <w:numId w:val="1"/>
        </w:numPr>
        <w:rPr>
          <w:rFonts w:asciiTheme="minorEastAsia" w:hAnsiTheme="minorEastAsia"/>
        </w:rPr>
      </w:pPr>
      <w:r w:rsidRPr="00FA77B1">
        <w:rPr>
          <w:rFonts w:asciiTheme="minorEastAsia" w:hAnsiTheme="minorEastAsia"/>
        </w:rPr>
        <w:t>如同基督愛</w:t>
      </w:r>
      <w:r w:rsidRPr="00FA77B1">
        <w:rPr>
          <w:rFonts w:asciiTheme="minorEastAsia" w:hAnsiTheme="minorEastAsia" w:cs="PMingLiU"/>
        </w:rPr>
        <w:t>了</w:t>
      </w:r>
      <w:r w:rsidRPr="00FA77B1">
        <w:rPr>
          <w:rFonts w:asciiTheme="minorEastAsia" w:hAnsiTheme="minorEastAsia"/>
        </w:rPr>
        <w:t>教會（厄弗所書5:21-6:9）</w:t>
      </w:r>
    </w:p>
    <w:p w14:paraId="00000025" w14:textId="77777777" w:rsidR="00220AF7" w:rsidRPr="00FA77B1" w:rsidRDefault="00000000">
      <w:pPr>
        <w:numPr>
          <w:ilvl w:val="0"/>
          <w:numId w:val="1"/>
        </w:numPr>
        <w:rPr>
          <w:rFonts w:asciiTheme="minorEastAsia" w:hAnsiTheme="minorEastAsia"/>
        </w:rPr>
      </w:pPr>
      <w:r w:rsidRPr="00FA77B1">
        <w:rPr>
          <w:rFonts w:asciiTheme="minorEastAsia" w:hAnsiTheme="minorEastAsia"/>
        </w:rPr>
        <w:t>穿上天主的全副武裝（厄弗所書6:10-24）</w:t>
      </w:r>
    </w:p>
    <w:p w14:paraId="00000026" w14:textId="77777777" w:rsidR="00220AF7" w:rsidRPr="00FA77B1" w:rsidRDefault="00000000">
      <w:pPr>
        <w:rPr>
          <w:rFonts w:asciiTheme="minorEastAsia" w:hAnsiTheme="minorEastAsia"/>
        </w:rPr>
      </w:pPr>
      <w:r w:rsidRPr="00FA77B1">
        <w:rPr>
          <w:rFonts w:asciiTheme="minorEastAsia" w:hAnsiTheme="minorEastAsia"/>
        </w:rPr>
        <w:t>儘管厄弗所書的大部分內容旨在提醒個別基督徒他們在「基督內」的崇高地位，但這絕不是一個個人主義的福音。我們的身份只能在團體中理解，這個奧秘在厄弗所書的幾乎每一章都有解釋。保祿討論了以下教會的形象：教會如同身體（厄弗所書第1章）、教會如同家庭或聖殿（厄弗所書第2章）、教會如同奧秘（厄弗所書第3章）、教會如同共融（厄弗所書第4章）、教會如同新娘（厄弗所書第5章）和教會如同裝備齊全的軍隊（厄弗所書第6章）。</w:t>
      </w:r>
    </w:p>
    <w:p w14:paraId="00000027" w14:textId="77777777" w:rsidR="00220AF7" w:rsidRPr="00FA77B1" w:rsidRDefault="00000000">
      <w:pPr>
        <w:rPr>
          <w:rFonts w:asciiTheme="minorEastAsia" w:hAnsiTheme="minorEastAsia"/>
        </w:rPr>
      </w:pPr>
      <w:r w:rsidRPr="00FA77B1">
        <w:rPr>
          <w:rFonts w:asciiTheme="minorEastAsia" w:hAnsiTheme="minorEastAsia"/>
        </w:rPr>
        <w:t>即使是教會的四個標誌——「</w:t>
      </w:r>
      <w:r w:rsidRPr="00FA77B1">
        <w:rPr>
          <w:rFonts w:asciiTheme="minorEastAsia" w:hAnsiTheme="minorEastAsia" w:cs="PMingLiU"/>
        </w:rPr>
        <w:t>唯</w:t>
      </w:r>
      <w:r w:rsidRPr="00FA77B1">
        <w:rPr>
          <w:rFonts w:asciiTheme="minorEastAsia" w:hAnsiTheme="minorEastAsia"/>
        </w:rPr>
        <w:t>一、</w:t>
      </w:r>
      <w:r w:rsidRPr="00FA77B1">
        <w:rPr>
          <w:rFonts w:asciiTheme="minorEastAsia" w:hAnsiTheme="minorEastAsia" w:cs="PMingLiU"/>
        </w:rPr>
        <w:t>至</w:t>
      </w:r>
      <w:r w:rsidRPr="00FA77B1">
        <w:rPr>
          <w:rFonts w:asciiTheme="minorEastAsia" w:hAnsiTheme="minorEastAsia"/>
        </w:rPr>
        <w:t>聖、</w:t>
      </w:r>
      <w:r w:rsidRPr="00FA77B1">
        <w:rPr>
          <w:rFonts w:asciiTheme="minorEastAsia" w:hAnsiTheme="minorEastAsia" w:cs="PMingLiU"/>
        </w:rPr>
        <w:t>至</w:t>
      </w:r>
      <w:r w:rsidRPr="00FA77B1">
        <w:rPr>
          <w:rFonts w:asciiTheme="minorEastAsia" w:hAnsiTheme="minorEastAsia"/>
        </w:rPr>
        <w:t>公、</w:t>
      </w:r>
      <w:r w:rsidRPr="00FA77B1">
        <w:rPr>
          <w:rFonts w:asciiTheme="minorEastAsia" w:hAnsiTheme="minorEastAsia" w:cs="PMingLiU"/>
        </w:rPr>
        <w:t>從</w:t>
      </w:r>
      <w:r w:rsidRPr="00FA77B1">
        <w:rPr>
          <w:rFonts w:asciiTheme="minorEastAsia" w:hAnsiTheme="minorEastAsia"/>
        </w:rPr>
        <w:t>宗徒</w:t>
      </w:r>
      <w:r w:rsidRPr="00FA77B1">
        <w:rPr>
          <w:rFonts w:asciiTheme="minorEastAsia" w:hAnsiTheme="minorEastAsia" w:cs="PMingLiU"/>
        </w:rPr>
        <w:t>傳下來</w:t>
      </w:r>
      <w:r w:rsidRPr="00FA77B1">
        <w:rPr>
          <w:rFonts w:asciiTheme="minorEastAsia" w:hAnsiTheme="minorEastAsia"/>
        </w:rPr>
        <w:t>」——也可以在保祿給厄弗所人的這封奇妙的信中找到（見厄弗所書2:19, 2:20, 4:5, 5:27）。在這六章短短的經文中，還有很多關於教會這一恩賜的知識等待我們學習，所以讓我們開始吧！</w:t>
      </w:r>
    </w:p>
    <w:p w14:paraId="00000028" w14:textId="77777777" w:rsidR="00220AF7" w:rsidRPr="00FA77B1" w:rsidRDefault="00000000">
      <w:pPr>
        <w:rPr>
          <w:rFonts w:asciiTheme="minorEastAsia" w:hAnsiTheme="minorEastAsia"/>
        </w:rPr>
      </w:pPr>
      <w:r w:rsidRPr="00FA77B1">
        <w:rPr>
          <w:rFonts w:asciiTheme="minorEastAsia" w:hAnsiTheme="minorEastAsia"/>
        </w:rPr>
        <w:lastRenderedPageBreak/>
        <w:t>(本課提取重點) TAKEAWAYS</w:t>
      </w:r>
    </w:p>
    <w:p w14:paraId="00000029" w14:textId="77777777" w:rsidR="00220AF7" w:rsidRPr="00FA77B1" w:rsidRDefault="00000000">
      <w:pPr>
        <w:rPr>
          <w:rFonts w:asciiTheme="minorEastAsia" w:hAnsiTheme="minorEastAsia"/>
        </w:rPr>
      </w:pPr>
      <w:r w:rsidRPr="00FA77B1">
        <w:rPr>
          <w:rFonts w:asciiTheme="minorEastAsia" w:hAnsiTheme="minorEastAsia"/>
        </w:rPr>
        <w:t>1. 注意世界上那些關注權力的事物，問問自己這些世界所追求的和保祿在《厄弗所書》中所提供的有什麼關係。這周花點時間閱讀整封書信——這不需要很長時間——讓自己熟悉它。</w:t>
      </w:r>
    </w:p>
    <w:p w14:paraId="0000002A" w14:textId="77777777" w:rsidR="00220AF7" w:rsidRPr="00FA77B1" w:rsidRDefault="00000000">
      <w:pPr>
        <w:rPr>
          <w:rFonts w:asciiTheme="minorEastAsia" w:hAnsiTheme="minorEastAsia"/>
        </w:rPr>
      </w:pPr>
      <w:r w:rsidRPr="00FA77B1">
        <w:rPr>
          <w:rFonts w:asciiTheme="minorEastAsia" w:hAnsiTheme="minorEastAsia"/>
        </w:rPr>
        <w:t>2. 這周花點時間向聖保祿和聖母瑪利亞祈禱，請求他們幫助你在這次學習中成為天主真正被呼召的兒子或女兒。</w:t>
      </w:r>
    </w:p>
    <w:sectPr w:rsidR="00220AF7" w:rsidRPr="00FA77B1">
      <w:footerReference w:type="default" r:id="rId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D0E34" w14:textId="77777777" w:rsidR="00EC7EB5" w:rsidRDefault="00EC7EB5" w:rsidP="008F18E5">
      <w:pPr>
        <w:spacing w:after="0" w:line="240" w:lineRule="auto"/>
      </w:pPr>
      <w:r>
        <w:separator/>
      </w:r>
    </w:p>
  </w:endnote>
  <w:endnote w:type="continuationSeparator" w:id="0">
    <w:p w14:paraId="6603A904" w14:textId="77777777" w:rsidR="00EC7EB5" w:rsidRDefault="00EC7EB5" w:rsidP="008F1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EA2431E-39A7-47D3-A16B-BB5569910E5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3824805-370B-4213-9AC6-3B871103227B}"/>
    <w:embedBold r:id="rId3" w:fontKey="{62A9EA27-764C-4B22-9EA7-F1034DD74FDE}"/>
    <w:embedItalic r:id="rId4" w:fontKey="{F3F0ED64-546D-4892-B57C-488062BB8FC8}"/>
  </w:font>
  <w:font w:name="PMingLiU">
    <w:altName w:val="新細明體"/>
    <w:panose1 w:val="02020500000000000000"/>
    <w:charset w:val="88"/>
    <w:family w:val="roman"/>
    <w:pitch w:val="variable"/>
    <w:sig w:usb0="A00002FF" w:usb1="28CFFCFA" w:usb2="00000016" w:usb3="00000000" w:csb0="00100001" w:csb1="00000000"/>
    <w:embedRegular r:id="rId5" w:subsetted="1" w:fontKey="{A3807AB2-4737-42BC-BC91-DE106B68D520}"/>
    <w:embedBold r:id="rId6" w:subsetted="1" w:fontKey="{A83028BA-596C-46FE-8692-3D47B987EC84}"/>
  </w:font>
  <w:font w:name="Play">
    <w:charset w:val="00"/>
    <w:family w:val="auto"/>
    <w:pitch w:val="default"/>
    <w:embedRegular r:id="rId7" w:fontKey="{9F62C755-A120-491A-8836-8A722CB556E2}"/>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embedRegular r:id="rId8" w:fontKey="{AF9252EC-7231-4A8D-8632-3B1BC64A5CBA}"/>
  </w:font>
  <w:font w:name="Cambria">
    <w:panose1 w:val="02040503050406030204"/>
    <w:charset w:val="00"/>
    <w:family w:val="roman"/>
    <w:pitch w:val="variable"/>
    <w:sig w:usb0="E00006FF" w:usb1="420024FF" w:usb2="02000000" w:usb3="00000000" w:csb0="0000019F" w:csb1="00000000"/>
    <w:embedRegular r:id="rId9" w:fontKey="{CBCC3500-1E26-4C98-949C-EE90B03E9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940988"/>
      <w:docPartObj>
        <w:docPartGallery w:val="Page Numbers (Bottom of Page)"/>
        <w:docPartUnique/>
      </w:docPartObj>
    </w:sdtPr>
    <w:sdtEndPr>
      <w:rPr>
        <w:noProof/>
      </w:rPr>
    </w:sdtEndPr>
    <w:sdtContent>
      <w:p w14:paraId="6C0767AC" w14:textId="6FEF4349" w:rsidR="008F18E5" w:rsidRDefault="008F18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F2762A" w14:textId="77777777" w:rsidR="008F18E5" w:rsidRDefault="008F18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268D1" w14:textId="77777777" w:rsidR="00EC7EB5" w:rsidRDefault="00EC7EB5" w:rsidP="008F18E5">
      <w:pPr>
        <w:spacing w:after="0" w:line="240" w:lineRule="auto"/>
      </w:pPr>
      <w:r>
        <w:separator/>
      </w:r>
    </w:p>
  </w:footnote>
  <w:footnote w:type="continuationSeparator" w:id="0">
    <w:p w14:paraId="36FD8239" w14:textId="77777777" w:rsidR="00EC7EB5" w:rsidRDefault="00EC7EB5" w:rsidP="008F18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291EED"/>
    <w:multiLevelType w:val="multilevel"/>
    <w:tmpl w:val="618CA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054AB9"/>
    <w:multiLevelType w:val="multilevel"/>
    <w:tmpl w:val="AD004C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63272107">
    <w:abstractNumId w:val="1"/>
  </w:num>
  <w:num w:numId="2" w16cid:durableId="390933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AF7"/>
    <w:rsid w:val="000546F0"/>
    <w:rsid w:val="00143FFD"/>
    <w:rsid w:val="00220AF7"/>
    <w:rsid w:val="005623DE"/>
    <w:rsid w:val="005F28C3"/>
    <w:rsid w:val="00676FA0"/>
    <w:rsid w:val="007C36A3"/>
    <w:rsid w:val="008F18E5"/>
    <w:rsid w:val="00905E0D"/>
    <w:rsid w:val="00A25611"/>
    <w:rsid w:val="00AC5B38"/>
    <w:rsid w:val="00B40245"/>
    <w:rsid w:val="00B74435"/>
    <w:rsid w:val="00EC7EB5"/>
    <w:rsid w:val="00FA77B1"/>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DC13E"/>
  <w15:docId w15:val="{A3B436BA-8136-41D9-ADEA-EB5248A1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Theme="minorEastAsia" w:hAnsi="Aptos" w:cs="Aptos"/>
        <w:sz w:val="24"/>
        <w:szCs w:val="24"/>
        <w:lang w:val="en-CA"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8F1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8E5"/>
  </w:style>
  <w:style w:type="paragraph" w:styleId="Footer">
    <w:name w:val="footer"/>
    <w:basedOn w:val="Normal"/>
    <w:link w:val="FooterChar"/>
    <w:uiPriority w:val="99"/>
    <w:unhideWhenUsed/>
    <w:rsid w:val="008F1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414</Words>
  <Characters>2361</Characters>
  <Application>Microsoft Office Word</Application>
  <DocSecurity>0</DocSecurity>
  <Lines>19</Lines>
  <Paragraphs>5</Paragraphs>
  <ScaleCrop>false</ScaleCrop>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Tom</dc:creator>
  <cp:lastModifiedBy>Eric Tom</cp:lastModifiedBy>
  <cp:revision>2</cp:revision>
  <dcterms:created xsi:type="dcterms:W3CDTF">2024-09-30T23:29:00Z</dcterms:created>
  <dcterms:modified xsi:type="dcterms:W3CDTF">2024-09-30T23:29:00Z</dcterms:modified>
</cp:coreProperties>
</file>